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E15" w:rsidRPr="00795102" w:rsidRDefault="00E069E5" w:rsidP="00E069E5">
      <w:pPr>
        <w:spacing w:after="0" w:line="10" w:lineRule="atLeast"/>
        <w:jc w:val="center"/>
        <w:rPr>
          <w:rFonts w:ascii="Times New Roman" w:hAnsi="Times New Roman" w:cs="Times New Roman"/>
          <w:b/>
          <w:bCs/>
          <w:sz w:val="28"/>
          <w:szCs w:val="28"/>
        </w:rPr>
      </w:pPr>
      <w:bookmarkStart w:id="0" w:name="_GoBack"/>
      <w:bookmarkEnd w:id="0"/>
      <w:r w:rsidRPr="00795102">
        <w:rPr>
          <w:rFonts w:ascii="Times New Roman" w:hAnsi="Times New Roman" w:cs="Times New Roman"/>
          <w:b/>
          <w:bCs/>
          <w:sz w:val="28"/>
          <w:szCs w:val="28"/>
        </w:rPr>
        <w:t xml:space="preserve">KAMU </w:t>
      </w:r>
      <w:r w:rsidR="001E5E15" w:rsidRPr="00795102">
        <w:rPr>
          <w:rFonts w:ascii="Times New Roman" w:hAnsi="Times New Roman" w:cs="Times New Roman"/>
          <w:b/>
          <w:bCs/>
          <w:sz w:val="28"/>
          <w:szCs w:val="28"/>
        </w:rPr>
        <w:t xml:space="preserve">ETİK DAVRANIŞ </w:t>
      </w:r>
      <w:r w:rsidRPr="00795102">
        <w:rPr>
          <w:rFonts w:ascii="Times New Roman" w:hAnsi="Times New Roman" w:cs="Times New Roman"/>
          <w:b/>
          <w:bCs/>
          <w:sz w:val="28"/>
          <w:szCs w:val="28"/>
        </w:rPr>
        <w:t>KURALLARI</w:t>
      </w:r>
    </w:p>
    <w:p w:rsidR="00E069E5" w:rsidRPr="00795102" w:rsidRDefault="00E069E5" w:rsidP="00E069E5">
      <w:pPr>
        <w:spacing w:after="0" w:line="10" w:lineRule="atLeast"/>
        <w:jc w:val="center"/>
        <w:rPr>
          <w:rFonts w:ascii="Times New Roman" w:hAnsi="Times New Roman" w:cs="Times New Roman"/>
          <w:b/>
          <w:bCs/>
          <w:sz w:val="24"/>
          <w:szCs w:val="24"/>
        </w:rPr>
      </w:pPr>
    </w:p>
    <w:p w:rsidR="001E5E15" w:rsidRPr="00795102" w:rsidRDefault="001E5E15" w:rsidP="001E5E15">
      <w:pPr>
        <w:spacing w:after="0" w:line="10" w:lineRule="atLeast"/>
        <w:jc w:val="both"/>
        <w:rPr>
          <w:rFonts w:ascii="Times New Roman" w:hAnsi="Times New Roman" w:cs="Times New Roman"/>
          <w:b/>
          <w:bCs/>
          <w:sz w:val="24"/>
          <w:szCs w:val="24"/>
        </w:rPr>
      </w:pPr>
    </w:p>
    <w:p w:rsidR="00E069E5" w:rsidRPr="00795102" w:rsidRDefault="001E5E15" w:rsidP="001E5E15">
      <w:pPr>
        <w:spacing w:after="0" w:line="10" w:lineRule="atLeast"/>
        <w:jc w:val="both"/>
        <w:rPr>
          <w:rFonts w:ascii="Times New Roman" w:hAnsi="Times New Roman" w:cs="Times New Roman"/>
          <w:b/>
          <w:bCs/>
          <w:sz w:val="26"/>
          <w:szCs w:val="26"/>
        </w:rPr>
      </w:pPr>
      <w:r w:rsidRPr="00795102">
        <w:rPr>
          <w:rFonts w:ascii="Times New Roman" w:hAnsi="Times New Roman" w:cs="Times New Roman"/>
          <w:b/>
          <w:bCs/>
          <w:sz w:val="26"/>
          <w:szCs w:val="26"/>
        </w:rPr>
        <w:t>Görevin yerine getirilmesinde kamu hizmeti bilinci:</w:t>
      </w:r>
    </w:p>
    <w:p w:rsidR="001E5E15"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kamu hizmetlerinin yerine getirilmesinde; sürekli gelişimi, katılımcılığı, saydamlığı, tarafsızlığı, dürüstlüğü, kamu yararını gözetmeyi, hesap verebilirliği, öngörülebilirliği, hizmette yerindeliği ve beyana güveni esas alırlar.</w:t>
      </w:r>
    </w:p>
    <w:p w:rsidR="001E5E15" w:rsidRPr="00795102" w:rsidRDefault="001E5E15"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Halka hizmet bilinci:</w:t>
      </w:r>
    </w:p>
    <w:p w:rsidR="001E5E15"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w:t>
      </w:r>
    </w:p>
    <w:p w:rsidR="001E5E15" w:rsidRPr="00795102" w:rsidRDefault="001E5E15"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Hizmet standartlarına uyma:</w:t>
      </w:r>
    </w:p>
    <w:p w:rsidR="001E5E15"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1E5E15" w:rsidRPr="00795102" w:rsidRDefault="001E5E15"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 xml:space="preserve">Amaç ve </w:t>
      </w:r>
      <w:proofErr w:type="gramStart"/>
      <w:r w:rsidRPr="00795102">
        <w:rPr>
          <w:rFonts w:ascii="Times New Roman" w:hAnsi="Times New Roman" w:cs="Times New Roman"/>
          <w:b/>
          <w:bCs/>
          <w:sz w:val="26"/>
          <w:szCs w:val="26"/>
        </w:rPr>
        <w:t>misyona</w:t>
      </w:r>
      <w:proofErr w:type="gramEnd"/>
      <w:r w:rsidRPr="00795102">
        <w:rPr>
          <w:rFonts w:ascii="Times New Roman" w:hAnsi="Times New Roman" w:cs="Times New Roman"/>
          <w:b/>
          <w:bCs/>
          <w:sz w:val="26"/>
          <w:szCs w:val="26"/>
        </w:rPr>
        <w:t xml:space="preserve"> bağlılık:</w:t>
      </w:r>
    </w:p>
    <w:p w:rsidR="001E5E15"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 xml:space="preserve">Kamu görevlileri, çalıştıkları kurum veya kuruluşun amaçlarına ve </w:t>
      </w:r>
      <w:proofErr w:type="gramStart"/>
      <w:r w:rsidRPr="00795102">
        <w:rPr>
          <w:rFonts w:ascii="Times New Roman" w:hAnsi="Times New Roman" w:cs="Times New Roman"/>
          <w:sz w:val="24"/>
          <w:szCs w:val="24"/>
        </w:rPr>
        <w:t>misyonuna</w:t>
      </w:r>
      <w:proofErr w:type="gramEnd"/>
      <w:r w:rsidRPr="00795102">
        <w:rPr>
          <w:rFonts w:ascii="Times New Roman" w:hAnsi="Times New Roman" w:cs="Times New Roman"/>
          <w:sz w:val="24"/>
          <w:szCs w:val="24"/>
        </w:rPr>
        <w:t xml:space="preserve"> uygun davranırlar. Ülkenin çıkarları, toplumun refahı ve kurumlarının hizmet idealleri doğrultusunda hareket ederler.</w:t>
      </w:r>
    </w:p>
    <w:p w:rsidR="001E5E15" w:rsidRPr="00795102" w:rsidRDefault="001E5E15"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Dürüstlük ve tarafsızlık:</w:t>
      </w:r>
    </w:p>
    <w:p w:rsidR="001E5E15" w:rsidRPr="00795102" w:rsidRDefault="001E5E15" w:rsidP="001E5E15">
      <w:pPr>
        <w:spacing w:after="0" w:line="10" w:lineRule="atLeast"/>
        <w:jc w:val="both"/>
        <w:rPr>
          <w:rFonts w:ascii="Times New Roman" w:hAnsi="Times New Roman" w:cs="Times New Roman"/>
          <w:sz w:val="24"/>
          <w:szCs w:val="24"/>
        </w:rPr>
      </w:pPr>
      <w:proofErr w:type="gramStart"/>
      <w:r w:rsidRPr="00795102">
        <w:rPr>
          <w:rFonts w:ascii="Times New Roman" w:hAnsi="Times New Roman" w:cs="Times New Roman"/>
          <w:sz w:val="24"/>
          <w:szCs w:val="24"/>
        </w:rPr>
        <w:t>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roofErr w:type="gramEnd"/>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 xml:space="preserve">Kamu görevlileri, takdir yetkilerini, kamu yararı ve hizmet gerekleri doğrultusunda, her türlü </w:t>
      </w:r>
      <w:proofErr w:type="gramStart"/>
      <w:r w:rsidRPr="00795102">
        <w:rPr>
          <w:rFonts w:ascii="Times New Roman" w:hAnsi="Times New Roman" w:cs="Times New Roman"/>
          <w:sz w:val="24"/>
          <w:szCs w:val="24"/>
        </w:rPr>
        <w:t>keyfilikten</w:t>
      </w:r>
      <w:proofErr w:type="gramEnd"/>
      <w:r w:rsidRPr="00795102">
        <w:rPr>
          <w:rFonts w:ascii="Times New Roman" w:hAnsi="Times New Roman" w:cs="Times New Roman"/>
          <w:sz w:val="24"/>
          <w:szCs w:val="24"/>
        </w:rPr>
        <w:t xml:space="preserve"> uzak, tarafsızlık ve eşitlik ilkelerine uygun olarak kullanırlar.</w:t>
      </w:r>
    </w:p>
    <w:p w:rsid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1E5E15" w:rsidRPr="00795102" w:rsidRDefault="001E5E15" w:rsidP="001E5E15">
      <w:pPr>
        <w:spacing w:after="0" w:line="10" w:lineRule="atLeast"/>
        <w:jc w:val="both"/>
        <w:rPr>
          <w:rFonts w:ascii="Times New Roman" w:hAnsi="Times New Roman" w:cs="Times New Roman"/>
          <w:sz w:val="24"/>
          <w:szCs w:val="24"/>
        </w:rPr>
      </w:pPr>
    </w:p>
    <w:p w:rsidR="00795102" w:rsidRPr="00795102" w:rsidRDefault="00795102" w:rsidP="00795102">
      <w:pPr>
        <w:spacing w:after="0" w:line="10" w:lineRule="atLeast"/>
        <w:jc w:val="both"/>
        <w:rPr>
          <w:rFonts w:ascii="Times New Roman" w:hAnsi="Times New Roman" w:cs="Times New Roman"/>
          <w:sz w:val="24"/>
          <w:szCs w:val="24"/>
        </w:rPr>
      </w:pPr>
      <w:r w:rsidRPr="00795102">
        <w:rPr>
          <w:rFonts w:ascii="Times New Roman" w:hAnsi="Times New Roman" w:cs="Times New Roman"/>
          <w:b/>
          <w:bCs/>
          <w:sz w:val="26"/>
          <w:szCs w:val="26"/>
        </w:rPr>
        <w:t>Nezaket ve saygı:</w:t>
      </w:r>
    </w:p>
    <w:p w:rsidR="00795102" w:rsidRDefault="00795102" w:rsidP="00795102">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üstleri, meslektaşları, astları, diğer personel ile hizmetten yararlananlara karşı nazik ve saygılı davranırlar ve gerekli ilgiyi gösterirler, konu yetkilerinin dışındaysa ilgili birime veya yetkiliye yönlendirirler.</w:t>
      </w:r>
    </w:p>
    <w:p w:rsidR="00795102" w:rsidRDefault="00795102" w:rsidP="00795102">
      <w:pPr>
        <w:spacing w:after="0" w:line="10" w:lineRule="atLeast"/>
        <w:jc w:val="both"/>
        <w:rPr>
          <w:rFonts w:ascii="Times New Roman" w:hAnsi="Times New Roman" w:cs="Times New Roman"/>
          <w:sz w:val="24"/>
          <w:szCs w:val="24"/>
        </w:rPr>
      </w:pPr>
    </w:p>
    <w:p w:rsidR="00305B17" w:rsidRPr="00795102" w:rsidRDefault="00305B17" w:rsidP="00305B17">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Yetkili makamlara bildirim:</w:t>
      </w:r>
    </w:p>
    <w:p w:rsidR="00305B17" w:rsidRPr="00795102" w:rsidRDefault="00305B17" w:rsidP="00305B17">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rsidR="00305B17" w:rsidRDefault="00305B17" w:rsidP="00305B17">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Kurum ve kuruluş amirleri, ihbarda bulunan kamu görevlilerinin kimliğini gizli tutar ve kendilerine herhangi bir zarar gelmemesi için gerekli tedbirleri alırlar.</w:t>
      </w:r>
    </w:p>
    <w:p w:rsidR="00305B17" w:rsidRDefault="00305B17" w:rsidP="001E5E15">
      <w:pPr>
        <w:spacing w:after="0" w:line="10" w:lineRule="atLeast"/>
        <w:jc w:val="both"/>
        <w:rPr>
          <w:rFonts w:ascii="Times New Roman" w:hAnsi="Times New Roman" w:cs="Times New Roman"/>
          <w:sz w:val="24"/>
          <w:szCs w:val="24"/>
        </w:rPr>
      </w:pPr>
    </w:p>
    <w:p w:rsidR="00305B17" w:rsidRDefault="00305B17"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lastRenderedPageBreak/>
        <w:t>Saygınlık ve güven:</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 xml:space="preserve">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sidRPr="00795102">
        <w:rPr>
          <w:rFonts w:ascii="Times New Roman" w:hAnsi="Times New Roman" w:cs="Times New Roman"/>
          <w:sz w:val="24"/>
          <w:szCs w:val="24"/>
        </w:rPr>
        <w:t>imkan</w:t>
      </w:r>
      <w:proofErr w:type="gramEnd"/>
      <w:r w:rsidRPr="00795102">
        <w:rPr>
          <w:rFonts w:ascii="Times New Roman" w:hAnsi="Times New Roman" w:cs="Times New Roman"/>
          <w:sz w:val="24"/>
          <w:szCs w:val="24"/>
        </w:rPr>
        <w:t xml:space="preserve"> veya benzeri çıkarlar talep edemez ve talep olmasa dahi sunulanı kabul edemezler.</w:t>
      </w:r>
    </w:p>
    <w:p w:rsidR="00305B17" w:rsidRDefault="00305B17"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Çıkar çatışmasından kaçınma:</w:t>
      </w:r>
    </w:p>
    <w:p w:rsidR="001E5E15" w:rsidRPr="00795102" w:rsidRDefault="001E5E15" w:rsidP="001E5E15">
      <w:pPr>
        <w:spacing w:after="0" w:line="10" w:lineRule="atLeast"/>
        <w:jc w:val="both"/>
        <w:rPr>
          <w:rFonts w:ascii="Times New Roman" w:hAnsi="Times New Roman" w:cs="Times New Roman"/>
          <w:sz w:val="24"/>
          <w:szCs w:val="24"/>
        </w:rPr>
      </w:pPr>
      <w:proofErr w:type="gramStart"/>
      <w:r w:rsidRPr="00795102">
        <w:rPr>
          <w:rFonts w:ascii="Times New Roman" w:hAnsi="Times New Roman" w:cs="Times New Roman"/>
          <w:sz w:val="24"/>
          <w:szCs w:val="24"/>
        </w:rPr>
        <w:t>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roofErr w:type="gramEnd"/>
    </w:p>
    <w:p w:rsidR="001E5E15" w:rsidRDefault="001E5E15" w:rsidP="001E5E15">
      <w:pPr>
        <w:spacing w:after="0" w:line="10" w:lineRule="atLeast"/>
        <w:jc w:val="both"/>
        <w:rPr>
          <w:rFonts w:ascii="Times New Roman" w:hAnsi="Times New Roman" w:cs="Times New Roman"/>
          <w:sz w:val="24"/>
          <w:szCs w:val="24"/>
        </w:rPr>
      </w:pPr>
      <w:proofErr w:type="gramStart"/>
      <w:r w:rsidRPr="00795102">
        <w:rPr>
          <w:rFonts w:ascii="Times New Roman" w:hAnsi="Times New Roman" w:cs="Times New Roman"/>
          <w:sz w:val="24"/>
          <w:szCs w:val="24"/>
        </w:rPr>
        <w:t>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w:t>
      </w:r>
      <w:proofErr w:type="gramEnd"/>
    </w:p>
    <w:p w:rsidR="00795102" w:rsidRPr="00795102" w:rsidRDefault="00795102"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Görev ve yetkilerin menfaat sağlamak amacıyla kullanılmaması:</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görev, unvan ve yetkilerini kullanarak kendileri, yakınları veya üçüncü kişiler lehine menfaat sağlayamaz ve aracılıkta bulunama</w:t>
      </w:r>
      <w:r w:rsidR="00D418C4" w:rsidRPr="00795102">
        <w:rPr>
          <w:rFonts w:ascii="Times New Roman" w:hAnsi="Times New Roman" w:cs="Times New Roman"/>
          <w:sz w:val="24"/>
          <w:szCs w:val="24"/>
        </w:rPr>
        <w:t>zlar, akraba, eş, dost ve hemşe</w:t>
      </w:r>
      <w:r w:rsidRPr="00795102">
        <w:rPr>
          <w:rFonts w:ascii="Times New Roman" w:hAnsi="Times New Roman" w:cs="Times New Roman"/>
          <w:sz w:val="24"/>
          <w:szCs w:val="24"/>
        </w:rPr>
        <w:t>ri kayırmacılığı, siyasal kayırmacılık veya herhangi bir nedenle ayrımcılık veya kayırmacılık yapamazlar.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1E5E15" w:rsidRPr="00795102" w:rsidRDefault="001E5E15" w:rsidP="001E5E15">
      <w:pPr>
        <w:spacing w:after="0" w:line="10" w:lineRule="atLeast"/>
        <w:jc w:val="both"/>
        <w:rPr>
          <w:rFonts w:ascii="Times New Roman" w:hAnsi="Times New Roman" w:cs="Times New Roman"/>
          <w:sz w:val="24"/>
          <w:szCs w:val="24"/>
        </w:rPr>
      </w:pPr>
      <w:proofErr w:type="gramStart"/>
      <w:r w:rsidRPr="00795102">
        <w:rPr>
          <w:rFonts w:ascii="Times New Roman" w:hAnsi="Times New Roman" w:cs="Times New Roman"/>
          <w:sz w:val="24"/>
          <w:szCs w:val="24"/>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roofErr w:type="gramEnd"/>
    </w:p>
    <w:p w:rsidR="001E5E15"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seçim kampanyalarında görev yaptığı kurumun kaynaklarını doğrudan veya dolaylı olarak kullanamaz ve kullandıramazlar.</w:t>
      </w:r>
    </w:p>
    <w:p w:rsidR="00795102" w:rsidRPr="00795102" w:rsidRDefault="00795102" w:rsidP="001E5E15">
      <w:pPr>
        <w:spacing w:after="0" w:line="10" w:lineRule="atLeast"/>
        <w:jc w:val="both"/>
        <w:rPr>
          <w:rFonts w:ascii="Times New Roman" w:hAnsi="Times New Roman" w:cs="Times New Roman"/>
          <w:sz w:val="24"/>
          <w:szCs w:val="24"/>
        </w:rPr>
      </w:pPr>
    </w:p>
    <w:p w:rsidR="00305B17" w:rsidRPr="00795102" w:rsidRDefault="00305B17" w:rsidP="00305B17">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Kamu malları ve kaynaklarının kullanımı:</w:t>
      </w:r>
    </w:p>
    <w:p w:rsidR="00305B17" w:rsidRDefault="00305B17" w:rsidP="00305B17">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kamu bina ve taşıtları ile diğer kamu malları ve kaynaklarını kamusal amaçlar ve hizmet gerekleri dışında kullanamaz ve kullandıramazlar, bunları korur ve her an hizmete hazır halde bulundurmak için gerekli tedbirleri alırlar.</w:t>
      </w:r>
    </w:p>
    <w:p w:rsidR="00305B17" w:rsidRPr="00795102" w:rsidRDefault="00305B17" w:rsidP="00305B17">
      <w:pPr>
        <w:spacing w:after="0" w:line="10" w:lineRule="atLeast"/>
        <w:jc w:val="both"/>
        <w:rPr>
          <w:rFonts w:ascii="Times New Roman" w:hAnsi="Times New Roman" w:cs="Times New Roman"/>
          <w:sz w:val="24"/>
          <w:szCs w:val="24"/>
        </w:rPr>
      </w:pPr>
    </w:p>
    <w:p w:rsidR="00305B17" w:rsidRPr="00795102" w:rsidRDefault="00305B17" w:rsidP="00305B17">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Savurganlıktan kaçınma:</w:t>
      </w:r>
    </w:p>
    <w:p w:rsidR="00305B17" w:rsidRDefault="00305B17" w:rsidP="00305B17">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 xml:space="preserve">Kamu görevlileri, kamu bina ve taşıtları ile diğer kamu malları ve kaynaklarının kullanımında israf ve savurganlıktan kaçınır; mesai süresini, kamu mallarını, kaynaklarını, işgücünü ve </w:t>
      </w:r>
      <w:proofErr w:type="gramStart"/>
      <w:r w:rsidRPr="00795102">
        <w:rPr>
          <w:rFonts w:ascii="Times New Roman" w:hAnsi="Times New Roman" w:cs="Times New Roman"/>
          <w:sz w:val="24"/>
          <w:szCs w:val="24"/>
        </w:rPr>
        <w:t>imkanlarını</w:t>
      </w:r>
      <w:proofErr w:type="gramEnd"/>
      <w:r w:rsidRPr="00795102">
        <w:rPr>
          <w:rFonts w:ascii="Times New Roman" w:hAnsi="Times New Roman" w:cs="Times New Roman"/>
          <w:sz w:val="24"/>
          <w:szCs w:val="24"/>
        </w:rPr>
        <w:t xml:space="preserve"> kullanırken etkin, verimli ve tutumlu davranırlar.</w:t>
      </w:r>
    </w:p>
    <w:p w:rsidR="00305B17" w:rsidRDefault="00305B17" w:rsidP="00305B17">
      <w:pPr>
        <w:spacing w:after="0" w:line="10" w:lineRule="atLeast"/>
        <w:jc w:val="both"/>
        <w:rPr>
          <w:rFonts w:ascii="Times New Roman" w:hAnsi="Times New Roman" w:cs="Times New Roman"/>
          <w:sz w:val="24"/>
          <w:szCs w:val="24"/>
        </w:rPr>
      </w:pPr>
    </w:p>
    <w:p w:rsidR="00305B17" w:rsidRDefault="00305B17"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lastRenderedPageBreak/>
        <w:t>Hediye alma ve menfaat sağlama yasağı:</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görevlisinin tarafsızlığını, performansını, kararını veya görevini yapmasını etkileyen veya etkileme ihtimali bulunan, ekonomik değeri olan ya da olmayan, doğrudan ya da dolaylı olarak kabul edilen her türlü eşya ve menfaat hediye kapsamındadır.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görevlilerinin hediye almaması, kamu görevlisine hediye verilmemesi ve görev sebebiyle çıkar sağlanmaması temel ilkedir.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kamu kaynaklarını kullanarak hediye veremez, resmi gün, tören ve bayramlar dışında, hiçbir gerçek veya tüzel kişiye çelenk veya çiçek gönderemezler; görev ve hizmetle ilgisi olmayan kutlama, duyuru ve anma ilanları veremezler.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 xml:space="preserve">Uluslararası ilişkilerde nezaket ve protokol kuralları gereğince, yabancı kişi ve kuruluşlar tarafından verilen hediyelerden, 3628 sayılı Kanunun 3. maddesi hükümleri saklı kalmakla birlikte, </w:t>
      </w:r>
      <w:proofErr w:type="spellStart"/>
      <w:r w:rsidRPr="00795102">
        <w:rPr>
          <w:rFonts w:ascii="Times New Roman" w:hAnsi="Times New Roman" w:cs="Times New Roman"/>
          <w:sz w:val="24"/>
          <w:szCs w:val="24"/>
        </w:rPr>
        <w:t>sözkonusu</w:t>
      </w:r>
      <w:proofErr w:type="spellEnd"/>
      <w:r w:rsidRPr="00795102">
        <w:rPr>
          <w:rFonts w:ascii="Times New Roman" w:hAnsi="Times New Roman" w:cs="Times New Roman"/>
          <w:sz w:val="24"/>
          <w:szCs w:val="24"/>
        </w:rPr>
        <w:t xml:space="preserve"> maddede belirtilen sınırın altında kalanlar da beyan edilir.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Aşağıda belirtilenler hediye alma yasağı kapsamı dışındadır: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b) Kitap, dergi, makale, kaset, takvim, cd veya buna benzer nitelikte olanlar,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c) Halka açık yarışmalarda, kampanyalarda veya etkinliklerde kazanılan ödül veya hediyeler,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 xml:space="preserve">d) Herkese açık konferans, </w:t>
      </w:r>
      <w:proofErr w:type="gramStart"/>
      <w:r w:rsidRPr="00795102">
        <w:rPr>
          <w:rFonts w:ascii="Times New Roman" w:hAnsi="Times New Roman" w:cs="Times New Roman"/>
          <w:sz w:val="24"/>
          <w:szCs w:val="24"/>
        </w:rPr>
        <w:t>sempozyum</w:t>
      </w:r>
      <w:proofErr w:type="gramEnd"/>
      <w:r w:rsidRPr="00795102">
        <w:rPr>
          <w:rFonts w:ascii="Times New Roman" w:hAnsi="Times New Roman" w:cs="Times New Roman"/>
          <w:sz w:val="24"/>
          <w:szCs w:val="24"/>
        </w:rPr>
        <w:t>, forum, panel, yemek, resepsiyon veya buna benzer etkinliklerde verilen hatıra niteliğindeki hediyeler,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e) Tanıtım amacına yönelik, herkese dağıtılan ve sembolik değeri bulunan reklam ve el sanatları ürünleri,</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f) Finans kurumlarından piyasa koşullarına göre alınan krediler.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Aşağıda belirtilenler ise hediye alma yasağı kapsamındadır: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a) Görev yapılan kurumla iş, hizmet veya çıkar ilişkisi içinde bulunanlardan alınan karşılama, veda ve kutlama hediyeleri, burs, seyahat, ücretsiz konaklama ve hediye çekleri,</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b) Taşınır veya taşınmaz mal veya hizmet satın alırken, satarken veya kiralarken piyasa fiyatına göre makul olmayan bedeller üzerinden yapılan işlemler,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c) Hizmetten yararlananların vereceği her türlü eşya, giysi, takı veya gıda türü hediyeler,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d) Görev yapılan kurumla iş veya hizmet ilişkisi içinde olanlardan alınan borç ve krediler.</w:t>
      </w:r>
    </w:p>
    <w:p w:rsidR="001E5E15"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 xml:space="preserve">Bu Yönetmelik kapsamına giren en az genel müdür, eşiti ve üstü görevliler, bu maddenin 5 inci fıkrası ve 6 </w:t>
      </w:r>
      <w:proofErr w:type="spellStart"/>
      <w:r w:rsidRPr="00795102">
        <w:rPr>
          <w:rFonts w:ascii="Times New Roman" w:hAnsi="Times New Roman" w:cs="Times New Roman"/>
          <w:sz w:val="24"/>
          <w:szCs w:val="24"/>
        </w:rPr>
        <w:t>ncı</w:t>
      </w:r>
      <w:proofErr w:type="spellEnd"/>
      <w:r w:rsidRPr="00795102">
        <w:rPr>
          <w:rFonts w:ascii="Times New Roman" w:hAnsi="Times New Roman" w:cs="Times New Roman"/>
          <w:sz w:val="24"/>
          <w:szCs w:val="24"/>
        </w:rPr>
        <w:t xml:space="preserve"> fıkranın (a) bendinde sayılan hediyelere ilişkin bir önceki yılda aldıklarının listesini, herhangi bir uyarı beklemeksizin her yıl Ocak ayı sonuna kadar Kurula bildirirler.</w:t>
      </w:r>
    </w:p>
    <w:p w:rsidR="001E5E15" w:rsidRPr="00795102" w:rsidRDefault="001E5E15"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Bağlayıcı açıklamalar ve gerçek dışı beyan:</w:t>
      </w:r>
    </w:p>
    <w:p w:rsidR="001E5E15"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görevlerini yerine getirirken yetkilerini aşarak çalıştıkları kurumlarını bağlayıcı açıklama, taahhüt, vaat veya girişimlerde bulunamazlar, aldatıcı ve gerçek dışı beyanat veremezler.</w:t>
      </w:r>
    </w:p>
    <w:p w:rsidR="001E5E15" w:rsidRPr="00795102" w:rsidRDefault="001E5E15" w:rsidP="001E5E15">
      <w:pPr>
        <w:spacing w:after="0" w:line="10" w:lineRule="atLeast"/>
        <w:jc w:val="both"/>
        <w:rPr>
          <w:rFonts w:ascii="Times New Roman" w:hAnsi="Times New Roman" w:cs="Times New Roman"/>
          <w:sz w:val="24"/>
          <w:szCs w:val="24"/>
        </w:rPr>
      </w:pPr>
    </w:p>
    <w:p w:rsidR="00305B17" w:rsidRPr="00795102" w:rsidRDefault="00305B17" w:rsidP="00305B17">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Eski kamu görevlileriyle ilişkiler:</w:t>
      </w:r>
    </w:p>
    <w:p w:rsidR="00305B17" w:rsidRPr="00795102" w:rsidRDefault="00305B17" w:rsidP="00305B17">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eski kamu görevlilerini kamu hizmetlerinden ayrıcalıklı bir şekilde faydalandıramaz, onlara imtiyazlı muamelede bulunamaz.</w:t>
      </w:r>
    </w:p>
    <w:p w:rsidR="00305B17" w:rsidRDefault="00305B17" w:rsidP="00305B17">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w:t>
      </w: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lastRenderedPageBreak/>
        <w:t>Bilgi verme, saydamlık ve katılımcılık:</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Üst yöneticiler, ilgili kanunların izin verdiği çerçevede, kurumlarının ihale süreçlerini, faaliyet ve denetim raporlarını uygun araçlarla kamuoyunun bilgisine sunarlar.</w:t>
      </w:r>
    </w:p>
    <w:p w:rsidR="001E5E15"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1E5E15" w:rsidRPr="00795102" w:rsidRDefault="001E5E15"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Yöneticilerin hesap verme sorumluluğu:</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Kamu görevlileri, kamu hizmetlerinin yerine getirilmesi sırasında sorumlulukları ve yükümlülükleri konusunda hesap verebilir ve kamusal değerlendirme ve denetime her zaman açık ve hazır olurlar.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Yönetici kamu görevlileri, kurumlarının amaç ve politikalarına uygun olmayan işlem veya eylemleri engellemek için görev ve yetkilerinin gerektirdiği önlemleri zamanında alırlar.</w:t>
      </w:r>
    </w:p>
    <w:p w:rsidR="001E5E15"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1E5E15"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1E5E15" w:rsidRPr="00795102" w:rsidRDefault="001E5E15" w:rsidP="001E5E15">
      <w:pPr>
        <w:spacing w:after="0" w:line="10" w:lineRule="atLeast"/>
        <w:jc w:val="both"/>
        <w:rPr>
          <w:rFonts w:ascii="Times New Roman" w:hAnsi="Times New Roman" w:cs="Times New Roman"/>
          <w:sz w:val="24"/>
          <w:szCs w:val="24"/>
        </w:rPr>
      </w:pPr>
    </w:p>
    <w:p w:rsidR="001E5E15" w:rsidRPr="00795102" w:rsidRDefault="001E5E15" w:rsidP="001E5E15">
      <w:pPr>
        <w:spacing w:after="0" w:line="10" w:lineRule="atLeast"/>
        <w:jc w:val="both"/>
        <w:rPr>
          <w:rFonts w:ascii="Times New Roman" w:hAnsi="Times New Roman" w:cs="Times New Roman"/>
          <w:sz w:val="26"/>
          <w:szCs w:val="26"/>
        </w:rPr>
      </w:pPr>
      <w:r w:rsidRPr="00795102">
        <w:rPr>
          <w:rFonts w:ascii="Times New Roman" w:hAnsi="Times New Roman" w:cs="Times New Roman"/>
          <w:b/>
          <w:bCs/>
          <w:sz w:val="26"/>
          <w:szCs w:val="26"/>
        </w:rPr>
        <w:t>Mal bildiriminde bulunma:</w:t>
      </w:r>
    </w:p>
    <w:p w:rsidR="00F43BEA" w:rsidRPr="00795102" w:rsidRDefault="001E5E15" w:rsidP="001E5E15">
      <w:pPr>
        <w:spacing w:after="0" w:line="10" w:lineRule="atLeast"/>
        <w:jc w:val="both"/>
        <w:rPr>
          <w:rFonts w:ascii="Times New Roman" w:hAnsi="Times New Roman" w:cs="Times New Roman"/>
          <w:sz w:val="24"/>
          <w:szCs w:val="24"/>
        </w:rPr>
      </w:pPr>
      <w:r w:rsidRPr="00795102">
        <w:rPr>
          <w:rFonts w:ascii="Times New Roman" w:hAnsi="Times New Roman" w:cs="Times New Roman"/>
          <w:sz w:val="24"/>
          <w:szCs w:val="24"/>
        </w:rPr>
        <w:t xml:space="preserve">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w:t>
      </w:r>
      <w:proofErr w:type="spellStart"/>
      <w:proofErr w:type="gramStart"/>
      <w:r w:rsidRPr="00795102">
        <w:rPr>
          <w:rFonts w:ascii="Times New Roman" w:hAnsi="Times New Roman" w:cs="Times New Roman"/>
          <w:sz w:val="24"/>
          <w:szCs w:val="24"/>
        </w:rPr>
        <w:t>bulunurlar.Kurul</w:t>
      </w:r>
      <w:proofErr w:type="spellEnd"/>
      <w:proofErr w:type="gramEnd"/>
      <w:r w:rsidRPr="00795102">
        <w:rPr>
          <w:rFonts w:ascii="Times New Roman" w:hAnsi="Times New Roman" w:cs="Times New Roman"/>
          <w:sz w:val="24"/>
          <w:szCs w:val="24"/>
        </w:rPr>
        <w:t xml:space="preserve">, gerek gördüğü takdirde mal bildirimlerini inceleme yetkisine sahiptir. Mal bildirimlerindeki bilgilerin doğruluğunun kontrolü amacıyla ilgili kişi ve kuruluşlar (bankalar ve özel finans kurumları </w:t>
      </w:r>
      <w:proofErr w:type="gramStart"/>
      <w:r w:rsidRPr="00795102">
        <w:rPr>
          <w:rFonts w:ascii="Times New Roman" w:hAnsi="Times New Roman" w:cs="Times New Roman"/>
          <w:sz w:val="24"/>
          <w:szCs w:val="24"/>
        </w:rPr>
        <w:t>dahil</w:t>
      </w:r>
      <w:proofErr w:type="gramEnd"/>
      <w:r w:rsidRPr="00795102">
        <w:rPr>
          <w:rFonts w:ascii="Times New Roman" w:hAnsi="Times New Roman" w:cs="Times New Roman"/>
          <w:sz w:val="24"/>
          <w:szCs w:val="24"/>
        </w:rPr>
        <w:t>) talep edilen bilgileri, en geç otuz gün içinde Kurula vermekle yükümlüdürler.</w:t>
      </w:r>
    </w:p>
    <w:sectPr w:rsidR="00F43BEA" w:rsidRPr="00795102" w:rsidSect="00795102">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81"/>
    <w:rsid w:val="001E5E15"/>
    <w:rsid w:val="002D0C16"/>
    <w:rsid w:val="00305B17"/>
    <w:rsid w:val="00636C27"/>
    <w:rsid w:val="00695481"/>
    <w:rsid w:val="00795102"/>
    <w:rsid w:val="00CB135F"/>
    <w:rsid w:val="00D418C4"/>
    <w:rsid w:val="00DA4EC7"/>
    <w:rsid w:val="00E069E5"/>
    <w:rsid w:val="00F43BEA"/>
    <w:rsid w:val="00FE70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1BFA4-A2FD-4B9A-8289-FFAD9E4F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78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1857</Words>
  <Characters>10591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TUĞLU</dc:creator>
  <cp:keywords/>
  <dc:description/>
  <cp:lastModifiedBy>Mehmet Ubeydullah Ünal</cp:lastModifiedBy>
  <cp:revision>2</cp:revision>
  <dcterms:created xsi:type="dcterms:W3CDTF">2019-02-05T08:31:00Z</dcterms:created>
  <dcterms:modified xsi:type="dcterms:W3CDTF">2019-02-05T08:31:00Z</dcterms:modified>
</cp:coreProperties>
</file>